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18430120" w:rsidR="00EA59B7" w:rsidRPr="00EA59B7" w:rsidRDefault="00B114C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Exam Invigilator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559EA6DA" w:rsidR="00EA59B7" w:rsidRPr="00EA59B7" w:rsidRDefault="00B114C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Appleton Academy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36F597D4" w:rsidR="00EA59B7" w:rsidRPr="00EA59B7" w:rsidRDefault="00B114C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Ongoing </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67EEB82" w:rsidR="00EA59B7" w:rsidRPr="00B114C4" w:rsidRDefault="00EA59B7" w:rsidP="00B114C4">
            <w:pPr>
              <w:ind w:right="-198"/>
              <w:rPr>
                <w:rFonts w:asciiTheme="majorHAnsi" w:eastAsia="Times New Roman" w:hAnsiTheme="majorHAnsi" w:cstheme="majorHAnsi"/>
                <w:b/>
                <w:color w:val="000000"/>
                <w:sz w:val="21"/>
                <w:szCs w:val="21"/>
              </w:rPr>
            </w:pPr>
            <w:r w:rsidRPr="00B114C4">
              <w:rPr>
                <w:rFonts w:asciiTheme="majorHAnsi" w:eastAsia="Times New Roman" w:hAnsiTheme="majorHAnsi" w:cstheme="majorHAnsi"/>
                <w:color w:val="000000"/>
                <w:sz w:val="21"/>
                <w:szCs w:val="21"/>
              </w:rPr>
              <w:t xml:space="preserve">Your application should be emailed to: </w:t>
            </w:r>
            <w:r w:rsidR="00B114C4" w:rsidRPr="00B114C4">
              <w:rPr>
                <w:rFonts w:asciiTheme="majorHAnsi" w:hAnsiTheme="majorHAnsi" w:cstheme="majorHAnsi"/>
                <w:b/>
                <w:sz w:val="21"/>
                <w:szCs w:val="21"/>
              </w:rPr>
              <w:t>recruitment@appletonacademy.co.uk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bookmarkStart w:id="0" w:name="_GoBack"/>
            <w:bookmarkEnd w:id="0"/>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lastRenderedPageBreak/>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Has any previous employer expressed concerns and/ or taken any action, whether informal/formal (including suspension from duty) on your </w:t>
            </w:r>
            <w:r w:rsidRPr="00024645">
              <w:rPr>
                <w:rFonts w:ascii="Calibri" w:eastAsia="Times New Roman" w:hAnsi="Calibri" w:cs="Calibri"/>
                <w:sz w:val="21"/>
                <w:szCs w:val="21"/>
              </w:rPr>
              <w:lastRenderedPageBreak/>
              <w:t>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lastRenderedPageBreak/>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lastRenderedPageBreak/>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lastRenderedPageBreak/>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4F4E01EB"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B114C4">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B114C4">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3627F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114C4"/>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3</cp:revision>
  <cp:lastPrinted>2018-12-17T15:27:00Z</cp:lastPrinted>
  <dcterms:created xsi:type="dcterms:W3CDTF">2025-03-11T15:15:00Z</dcterms:created>
  <dcterms:modified xsi:type="dcterms:W3CDTF">2025-03-11T15:16:00Z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